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C" w14:textId="77777777" w:rsidR="0037495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eastAsia="Arial" w:hAnsi="Arial" w:cs="Arial"/>
          <w:sz w:val="20"/>
          <w:szCs w:val="20"/>
        </w:rPr>
        <w:t xml:space="preserve">VIRTUAL LEARNING ACADEMY CHARTER SCHOOL POLICY </w:t>
      </w:r>
    </w:p>
    <w:p w14:paraId="0000001D" w14:textId="77777777" w:rsidR="0037495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8"/>
          <w:szCs w:val="28"/>
        </w:rPr>
      </w:pPr>
      <w:r>
        <w:rPr>
          <w:rFonts w:ascii="Arial" w:eastAsia="Arial" w:hAnsi="Arial" w:cs="Arial"/>
          <w:b/>
          <w:bCs/>
          <w:sz w:val="28"/>
          <w:szCs w:val="28"/>
        </w:rPr>
        <w:t>FIXED ASSETS</w:t>
      </w:r>
      <w:r>
        <w:rPr>
          <w:rFonts w:ascii="Arial" w:eastAsia="Arial" w:hAnsi="Arial" w:cs="Arial"/>
          <w:b/>
          <w:bCs/>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b/>
          <w:bCs/>
          <w:sz w:val="28"/>
          <w:szCs w:val="28"/>
        </w:rPr>
        <w:t>DID</w:t>
      </w:r>
    </w:p>
    <w:p w14:paraId="0000001E" w14:textId="77777777" w:rsidR="00374959" w:rsidRDefault="00000000">
      <w:pPr>
        <w:pBdr>
          <w:top w:val="nil"/>
          <w:left w:val="nil"/>
          <w:bottom w:val="nil"/>
          <w:right w:val="nil"/>
          <w:between w:val="nil"/>
        </w:pBdr>
        <w:spacing w:before="278" w:line="242" w:lineRule="auto"/>
        <w:ind w:left="4" w:right="69"/>
        <w:rPr>
          <w:rFonts w:ascii="Arial" w:eastAsia="Arial" w:hAnsi="Arial" w:cs="Arial"/>
          <w:color w:val="000027"/>
          <w:sz w:val="26"/>
          <w:szCs w:val="26"/>
        </w:rPr>
      </w:pPr>
      <w:r>
        <w:rPr>
          <w:rFonts w:ascii="Arial" w:eastAsia="Arial" w:hAnsi="Arial" w:cs="Arial"/>
          <w:color w:val="000027"/>
          <w:sz w:val="26"/>
          <w:szCs w:val="26"/>
        </w:rPr>
        <w:t xml:space="preserve">The School’s capital assets include, but are not necessarily limited to, land, land improvements, buildings, building improvements, and infrastructure, as well as vehicles and certain machinery, equipment, software, works of art, and other tangible or intangible assets that are used in operations and that have initial useful lives extending beyond one fiscal year. Capital assets also include certain improvements, modifications, replacements, or renovations to capital assets that materially increase their value or useful life. The Board of Trustees’ expectation for the </w:t>
      </w:r>
      <w:proofErr w:type="gramStart"/>
      <w:r>
        <w:rPr>
          <w:rFonts w:ascii="Arial" w:eastAsia="Arial" w:hAnsi="Arial" w:cs="Arial"/>
          <w:color w:val="000027"/>
          <w:sz w:val="26"/>
          <w:szCs w:val="26"/>
        </w:rPr>
        <w:t>School’s</w:t>
      </w:r>
      <w:proofErr w:type="gramEnd"/>
      <w:r>
        <w:rPr>
          <w:rFonts w:ascii="Arial" w:eastAsia="Arial" w:hAnsi="Arial" w:cs="Arial"/>
          <w:color w:val="000027"/>
          <w:sz w:val="26"/>
          <w:szCs w:val="26"/>
        </w:rPr>
        <w:t xml:space="preserve"> capital asset management and accounting process is to ensure that the </w:t>
      </w:r>
      <w:proofErr w:type="gramStart"/>
      <w:r>
        <w:rPr>
          <w:rFonts w:ascii="Arial" w:eastAsia="Arial" w:hAnsi="Arial" w:cs="Arial"/>
          <w:color w:val="000027"/>
          <w:sz w:val="26"/>
          <w:szCs w:val="26"/>
        </w:rPr>
        <w:t>School’s</w:t>
      </w:r>
      <w:proofErr w:type="gramEnd"/>
      <w:r>
        <w:rPr>
          <w:rFonts w:ascii="Arial" w:eastAsia="Arial" w:hAnsi="Arial" w:cs="Arial"/>
          <w:color w:val="000027"/>
          <w:sz w:val="26"/>
          <w:szCs w:val="26"/>
        </w:rPr>
        <w:t xml:space="preserve"> procedures are sufficiently formalized and implemented to allow for adequate financial reporting, as assessed by the </w:t>
      </w:r>
      <w:proofErr w:type="gramStart"/>
      <w:r>
        <w:rPr>
          <w:rFonts w:ascii="Arial" w:eastAsia="Arial" w:hAnsi="Arial" w:cs="Arial"/>
          <w:color w:val="000027"/>
          <w:sz w:val="26"/>
          <w:szCs w:val="26"/>
        </w:rPr>
        <w:t>School’s</w:t>
      </w:r>
      <w:proofErr w:type="gramEnd"/>
      <w:r>
        <w:rPr>
          <w:rFonts w:ascii="Arial" w:eastAsia="Arial" w:hAnsi="Arial" w:cs="Arial"/>
          <w:color w:val="000027"/>
          <w:sz w:val="26"/>
          <w:szCs w:val="26"/>
        </w:rPr>
        <w:t xml:space="preserve"> auditors. </w:t>
      </w:r>
    </w:p>
    <w:p w14:paraId="0000001F" w14:textId="59D5D82F" w:rsidR="00374959" w:rsidRDefault="00000000" w:rsidP="00946004">
      <w:pPr>
        <w:pBdr>
          <w:top w:val="nil"/>
          <w:left w:val="nil"/>
          <w:bottom w:val="nil"/>
          <w:right w:val="nil"/>
          <w:between w:val="nil"/>
        </w:pBdr>
        <w:spacing w:before="274" w:line="242" w:lineRule="auto"/>
        <w:ind w:right="14" w:firstLine="1"/>
        <w:rPr>
          <w:rFonts w:ascii="Arial" w:eastAsia="Arial" w:hAnsi="Arial" w:cs="Arial"/>
          <w:color w:val="000027"/>
          <w:sz w:val="26"/>
          <w:szCs w:val="26"/>
        </w:rPr>
      </w:pPr>
      <w:r>
        <w:rPr>
          <w:rFonts w:ascii="Arial" w:eastAsia="Arial" w:hAnsi="Arial" w:cs="Arial"/>
          <w:color w:val="000027"/>
          <w:sz w:val="26"/>
          <w:szCs w:val="26"/>
        </w:rPr>
        <w:t>The Business Administrator,</w:t>
      </w:r>
      <w:r w:rsidR="00946004">
        <w:rPr>
          <w:rFonts w:ascii="Arial" w:eastAsia="Arial" w:hAnsi="Arial" w:cs="Arial"/>
          <w:color w:val="000027"/>
          <w:sz w:val="26"/>
          <w:szCs w:val="26"/>
        </w:rPr>
        <w:t xml:space="preserve"> </w:t>
      </w:r>
      <w:r>
        <w:rPr>
          <w:rFonts w:ascii="Arial" w:eastAsia="Arial" w:hAnsi="Arial" w:cs="Arial"/>
          <w:color w:val="000027"/>
          <w:sz w:val="26"/>
          <w:szCs w:val="26"/>
        </w:rPr>
        <w:t xml:space="preserve">shall be responsible for establishing a written schedule of capitalization thresholds applicable to particular capital asset classes. The schedule shall be structured to capture at least 80% of the value of the </w:t>
      </w:r>
      <w:proofErr w:type="gramStart"/>
      <w:r>
        <w:rPr>
          <w:rFonts w:ascii="Arial" w:eastAsia="Arial" w:hAnsi="Arial" w:cs="Arial"/>
          <w:color w:val="000027"/>
          <w:sz w:val="26"/>
          <w:szCs w:val="26"/>
        </w:rPr>
        <w:t>District’s</w:t>
      </w:r>
      <w:proofErr w:type="gramEnd"/>
      <w:r>
        <w:rPr>
          <w:rFonts w:ascii="Arial" w:eastAsia="Arial" w:hAnsi="Arial" w:cs="Arial"/>
          <w:color w:val="000027"/>
          <w:sz w:val="26"/>
          <w:szCs w:val="26"/>
        </w:rPr>
        <w:t xml:space="preserve"> total assets. </w:t>
      </w:r>
      <w:proofErr w:type="gramStart"/>
      <w:r>
        <w:rPr>
          <w:rFonts w:ascii="Arial" w:eastAsia="Arial" w:hAnsi="Arial" w:cs="Arial"/>
          <w:color w:val="000027"/>
          <w:sz w:val="26"/>
          <w:szCs w:val="26"/>
        </w:rPr>
        <w:t>For  financial</w:t>
      </w:r>
      <w:proofErr w:type="gramEnd"/>
      <w:r>
        <w:rPr>
          <w:rFonts w:ascii="Arial" w:eastAsia="Arial" w:hAnsi="Arial" w:cs="Arial"/>
          <w:color w:val="000027"/>
          <w:sz w:val="26"/>
          <w:szCs w:val="26"/>
        </w:rPr>
        <w:t xml:space="preserve"> reporting purposes, capitalization thresholds are set at $10,000 per item.</w:t>
      </w:r>
    </w:p>
    <w:p w14:paraId="00000020" w14:textId="77777777" w:rsidR="00374959" w:rsidRDefault="00000000">
      <w:pPr>
        <w:pBdr>
          <w:top w:val="nil"/>
          <w:left w:val="nil"/>
          <w:bottom w:val="nil"/>
          <w:right w:val="nil"/>
          <w:between w:val="nil"/>
        </w:pBdr>
        <w:spacing w:before="186" w:line="271" w:lineRule="auto"/>
        <w:ind w:left="15" w:right="541" w:hanging="1"/>
        <w:rPr>
          <w:rFonts w:ascii="Arial" w:eastAsia="Arial" w:hAnsi="Arial" w:cs="Arial"/>
          <w:color w:val="000027"/>
          <w:sz w:val="26"/>
          <w:szCs w:val="26"/>
        </w:rPr>
      </w:pPr>
      <w:r>
        <w:rPr>
          <w:rFonts w:ascii="Arial" w:eastAsia="Arial" w:hAnsi="Arial" w:cs="Arial"/>
          <w:color w:val="000027"/>
          <w:sz w:val="26"/>
          <w:szCs w:val="26"/>
        </w:rPr>
        <w:t xml:space="preserve">When qualifying as capital assets, the following shall be capitalized in groups without regard to the acquisition cost of individual items within a group: </w:t>
      </w:r>
    </w:p>
    <w:p w14:paraId="00000021" w14:textId="77777777" w:rsidR="00374959" w:rsidRDefault="00000000">
      <w:pPr>
        <w:pBdr>
          <w:top w:val="nil"/>
          <w:left w:val="nil"/>
          <w:bottom w:val="nil"/>
          <w:right w:val="nil"/>
          <w:between w:val="nil"/>
        </w:pBdr>
        <w:spacing w:before="313"/>
        <w:ind w:left="1094"/>
        <w:rPr>
          <w:rFonts w:ascii="Arial" w:eastAsia="Arial" w:hAnsi="Arial" w:cs="Arial"/>
          <w:color w:val="000027"/>
          <w:sz w:val="26"/>
          <w:szCs w:val="26"/>
        </w:rPr>
      </w:pPr>
      <w:r>
        <w:rPr>
          <w:rFonts w:ascii="Arial" w:eastAsia="Arial" w:hAnsi="Arial" w:cs="Arial"/>
          <w:color w:val="000027"/>
          <w:sz w:val="26"/>
          <w:szCs w:val="26"/>
        </w:rPr>
        <w:t xml:space="preserve">a. </w:t>
      </w:r>
      <w:proofErr w:type="gramStart"/>
      <w:r>
        <w:rPr>
          <w:rFonts w:ascii="Arial" w:eastAsia="Arial" w:hAnsi="Arial" w:cs="Arial"/>
          <w:color w:val="000027"/>
          <w:sz w:val="26"/>
          <w:szCs w:val="26"/>
        </w:rPr>
        <w:t>Furniture;</w:t>
      </w:r>
      <w:proofErr w:type="gramEnd"/>
      <w:r>
        <w:rPr>
          <w:rFonts w:ascii="Arial" w:eastAsia="Arial" w:hAnsi="Arial" w:cs="Arial"/>
          <w:color w:val="000027"/>
          <w:sz w:val="26"/>
          <w:szCs w:val="26"/>
        </w:rPr>
        <w:t xml:space="preserve"> </w:t>
      </w:r>
    </w:p>
    <w:p w14:paraId="00000022" w14:textId="77777777" w:rsidR="00374959" w:rsidRDefault="00000000">
      <w:pPr>
        <w:pBdr>
          <w:top w:val="nil"/>
          <w:left w:val="nil"/>
          <w:bottom w:val="nil"/>
          <w:right w:val="nil"/>
          <w:between w:val="nil"/>
        </w:pBdr>
        <w:spacing w:before="42"/>
        <w:ind w:left="1100"/>
        <w:rPr>
          <w:rFonts w:ascii="Arial" w:eastAsia="Arial" w:hAnsi="Arial" w:cs="Arial"/>
          <w:color w:val="000027"/>
          <w:sz w:val="26"/>
          <w:szCs w:val="26"/>
        </w:rPr>
      </w:pPr>
      <w:r>
        <w:rPr>
          <w:rFonts w:ascii="Arial" w:eastAsia="Arial" w:hAnsi="Arial" w:cs="Arial"/>
          <w:color w:val="000027"/>
          <w:sz w:val="26"/>
          <w:szCs w:val="26"/>
        </w:rPr>
        <w:t>b. Computers, monitors, and video conferencing equipment</w:t>
      </w:r>
    </w:p>
    <w:p w14:paraId="00000023" w14:textId="77777777" w:rsidR="00374959" w:rsidRDefault="00000000">
      <w:pPr>
        <w:pBdr>
          <w:top w:val="nil"/>
          <w:left w:val="nil"/>
          <w:bottom w:val="nil"/>
          <w:right w:val="nil"/>
          <w:between w:val="nil"/>
        </w:pBdr>
        <w:spacing w:before="310" w:line="242" w:lineRule="auto"/>
        <w:ind w:left="9" w:right="114" w:firstLine="4"/>
        <w:rPr>
          <w:rFonts w:ascii="Arial" w:eastAsia="Arial" w:hAnsi="Arial" w:cs="Arial"/>
          <w:color w:val="000027"/>
          <w:sz w:val="26"/>
          <w:szCs w:val="26"/>
        </w:rPr>
      </w:pPr>
      <w:r>
        <w:rPr>
          <w:rFonts w:ascii="Arial" w:eastAsia="Arial" w:hAnsi="Arial" w:cs="Arial"/>
          <w:color w:val="000027"/>
          <w:sz w:val="26"/>
          <w:szCs w:val="26"/>
        </w:rPr>
        <w:t xml:space="preserve">Capital assets having an acquisition cost (or other relevant valuation) above the capitalization threshold of the applicable asset class shall be valued, inventoried, depreciated for financial accounting purposes when appropriate, and regularly tracked over time through the point of retirement, sale, or other disposition. </w:t>
      </w:r>
    </w:p>
    <w:p w14:paraId="00000024" w14:textId="77777777" w:rsidR="00374959" w:rsidRDefault="00000000">
      <w:pPr>
        <w:pBdr>
          <w:top w:val="nil"/>
          <w:left w:val="nil"/>
          <w:bottom w:val="nil"/>
          <w:right w:val="nil"/>
          <w:between w:val="nil"/>
        </w:pBdr>
        <w:spacing w:before="277" w:line="242" w:lineRule="auto"/>
        <w:ind w:left="11" w:right="544" w:firstLine="10"/>
        <w:rPr>
          <w:rFonts w:ascii="Arial" w:eastAsia="Arial" w:hAnsi="Arial" w:cs="Arial"/>
          <w:color w:val="000027"/>
          <w:sz w:val="26"/>
          <w:szCs w:val="26"/>
        </w:rPr>
      </w:pPr>
      <w:r>
        <w:rPr>
          <w:rFonts w:ascii="Arial" w:eastAsia="Arial" w:hAnsi="Arial" w:cs="Arial"/>
          <w:color w:val="000027"/>
          <w:sz w:val="26"/>
          <w:szCs w:val="26"/>
        </w:rPr>
        <w:t xml:space="preserve">District procedures related to capital asset management shall also account for the appropriate identification, recording, and tracking of capital assets that are acquired using (1) federal funds, (2) capital borrowing, or (3) referendum funds that are subject to specific restrictions on use. </w:t>
      </w:r>
    </w:p>
    <w:p w14:paraId="00000025" w14:textId="77777777" w:rsidR="00374959" w:rsidRDefault="00000000">
      <w:pPr>
        <w:pBdr>
          <w:top w:val="nil"/>
          <w:left w:val="nil"/>
          <w:bottom w:val="nil"/>
          <w:right w:val="nil"/>
          <w:between w:val="nil"/>
        </w:pBdr>
        <w:spacing w:before="276" w:line="242" w:lineRule="auto"/>
        <w:ind w:left="1" w:right="57" w:firstLine="17"/>
        <w:rPr>
          <w:rFonts w:ascii="Arial" w:eastAsia="Arial" w:hAnsi="Arial" w:cs="Arial"/>
          <w:color w:val="000027"/>
          <w:sz w:val="26"/>
          <w:szCs w:val="26"/>
        </w:rPr>
      </w:pPr>
      <w:r>
        <w:rPr>
          <w:rFonts w:ascii="Arial" w:eastAsia="Arial" w:hAnsi="Arial" w:cs="Arial"/>
          <w:color w:val="000027"/>
          <w:sz w:val="26"/>
          <w:szCs w:val="26"/>
        </w:rPr>
        <w:t xml:space="preserve">Nothing in this policy prevents the </w:t>
      </w:r>
      <w:proofErr w:type="gramStart"/>
      <w:r>
        <w:rPr>
          <w:rFonts w:ascii="Arial" w:eastAsia="Arial" w:hAnsi="Arial" w:cs="Arial"/>
          <w:color w:val="000027"/>
          <w:sz w:val="26"/>
          <w:szCs w:val="26"/>
        </w:rPr>
        <w:t>District</w:t>
      </w:r>
      <w:proofErr w:type="gramEnd"/>
      <w:r>
        <w:rPr>
          <w:rFonts w:ascii="Arial" w:eastAsia="Arial" w:hAnsi="Arial" w:cs="Arial"/>
          <w:color w:val="000027"/>
          <w:sz w:val="26"/>
          <w:szCs w:val="26"/>
        </w:rPr>
        <w:t xml:space="preserve"> from otherwise inventorying (recording, counting, and tracking) supplies, equipment, and other items that are not capitalized for financial reporting purposes. Further, the District shall appropriately inventory any such non-capitalized items if required by law or by the terms of any grant or contract. </w:t>
      </w:r>
    </w:p>
    <w:p w14:paraId="00000026" w14:textId="77777777" w:rsidR="00374959" w:rsidRDefault="00000000">
      <w:pPr>
        <w:pBdr>
          <w:top w:val="nil"/>
          <w:left w:val="nil"/>
          <w:bottom w:val="nil"/>
          <w:right w:val="nil"/>
          <w:between w:val="nil"/>
        </w:pBdr>
        <w:spacing w:before="181"/>
        <w:ind w:left="19"/>
        <w:rPr>
          <w:rFonts w:ascii="Arial" w:eastAsia="Arial" w:hAnsi="Arial" w:cs="Arial"/>
          <w:color w:val="000027"/>
          <w:sz w:val="26"/>
          <w:szCs w:val="26"/>
        </w:rPr>
      </w:pPr>
      <w:r>
        <w:rPr>
          <w:rFonts w:ascii="Arial" w:eastAsia="Arial" w:hAnsi="Arial" w:cs="Arial"/>
          <w:color w:val="000027"/>
          <w:sz w:val="26"/>
          <w:szCs w:val="26"/>
        </w:rPr>
        <w:t xml:space="preserve">Legal References: </w:t>
      </w:r>
    </w:p>
    <w:p w14:paraId="00000027" w14:textId="77777777" w:rsidR="00374959" w:rsidRDefault="00000000">
      <w:pPr>
        <w:pBdr>
          <w:top w:val="nil"/>
          <w:left w:val="nil"/>
          <w:bottom w:val="nil"/>
          <w:right w:val="nil"/>
          <w:between w:val="nil"/>
        </w:pBdr>
        <w:spacing w:before="21"/>
        <w:ind w:left="375"/>
        <w:rPr>
          <w:rFonts w:ascii="Arial" w:eastAsia="Arial" w:hAnsi="Arial" w:cs="Arial"/>
          <w:color w:val="000027"/>
          <w:sz w:val="26"/>
          <w:szCs w:val="26"/>
        </w:rPr>
      </w:pPr>
      <w:r>
        <w:rPr>
          <w:rFonts w:ascii="Arial" w:eastAsia="Arial" w:hAnsi="Arial" w:cs="Arial"/>
          <w:color w:val="000027"/>
          <w:sz w:val="26"/>
          <w:szCs w:val="26"/>
        </w:rPr>
        <w:t xml:space="preserve">• GASB 54 (Governmental Standards Board Statement 54) </w:t>
      </w:r>
    </w:p>
    <w:p w14:paraId="00000028" w14:textId="77777777" w:rsidR="00374959" w:rsidRDefault="00000000">
      <w:pPr>
        <w:pBdr>
          <w:top w:val="nil"/>
          <w:left w:val="nil"/>
          <w:bottom w:val="nil"/>
          <w:right w:val="nil"/>
          <w:between w:val="nil"/>
        </w:pBdr>
        <w:spacing w:before="24"/>
        <w:ind w:left="375"/>
        <w:rPr>
          <w:rFonts w:ascii="Arial" w:eastAsia="Arial" w:hAnsi="Arial" w:cs="Arial"/>
          <w:color w:val="000027"/>
          <w:sz w:val="26"/>
          <w:szCs w:val="26"/>
        </w:rPr>
      </w:pPr>
      <w:r>
        <w:rPr>
          <w:rFonts w:ascii="Arial" w:eastAsia="Arial" w:hAnsi="Arial" w:cs="Arial"/>
          <w:color w:val="000027"/>
          <w:sz w:val="26"/>
          <w:szCs w:val="26"/>
        </w:rPr>
        <w:t xml:space="preserve">• 2 CFR Part 200 </w:t>
      </w:r>
    </w:p>
    <w:p w14:paraId="00000029" w14:textId="77777777" w:rsidR="00374959" w:rsidRDefault="00374959">
      <w:pPr>
        <w:pBdr>
          <w:top w:val="nil"/>
          <w:left w:val="nil"/>
          <w:bottom w:val="nil"/>
          <w:right w:val="nil"/>
          <w:between w:val="nil"/>
        </w:pBdr>
        <w:spacing w:before="24"/>
        <w:ind w:left="375"/>
        <w:rPr>
          <w:rFonts w:ascii="Arial" w:eastAsia="Arial" w:hAnsi="Arial" w:cs="Arial"/>
          <w:color w:val="000027"/>
          <w:sz w:val="26"/>
          <w:szCs w:val="26"/>
        </w:rPr>
      </w:pPr>
    </w:p>
    <w:p w14:paraId="0000002A" w14:textId="77777777" w:rsidR="00374959" w:rsidRDefault="00374959">
      <w:pPr>
        <w:pBdr>
          <w:top w:val="nil"/>
          <w:left w:val="nil"/>
          <w:bottom w:val="nil"/>
          <w:right w:val="nil"/>
          <w:between w:val="nil"/>
        </w:pBdr>
        <w:spacing w:before="24"/>
        <w:ind w:left="375"/>
        <w:rPr>
          <w:rFonts w:ascii="Arial" w:eastAsia="Arial" w:hAnsi="Arial" w:cs="Arial"/>
          <w:color w:val="000027"/>
          <w:sz w:val="26"/>
          <w:szCs w:val="26"/>
        </w:rPr>
      </w:pPr>
    </w:p>
    <w:p w14:paraId="0000002B" w14:textId="77777777" w:rsidR="0037495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color w:val="000027"/>
          <w:sz w:val="26"/>
          <w:szCs w:val="26"/>
        </w:rPr>
        <w:lastRenderedPageBreak/>
        <w:t xml:space="preserve">Date Adopted: </w:t>
      </w:r>
      <w:r w:rsidRPr="00B176C9">
        <w:rPr>
          <w:rFonts w:ascii="Arial" w:eastAsia="Arial" w:hAnsi="Arial" w:cs="Arial"/>
          <w:color w:val="000027"/>
          <w:sz w:val="26"/>
          <w:szCs w:val="26"/>
        </w:rPr>
        <w:t>January 13, 2011</w:t>
      </w:r>
    </w:p>
    <w:p w14:paraId="0000002C" w14:textId="77777777" w:rsidR="00374959" w:rsidRDefault="00000000">
      <w:pPr>
        <w:pBdr>
          <w:top w:val="nil"/>
          <w:left w:val="nil"/>
          <w:bottom w:val="nil"/>
          <w:right w:val="nil"/>
          <w:between w:val="nil"/>
        </w:pBdr>
        <w:rPr>
          <w:rFonts w:ascii="Arial" w:eastAsia="Arial" w:hAnsi="Arial" w:cs="Arial"/>
          <w:color w:val="000027"/>
          <w:sz w:val="26"/>
          <w:szCs w:val="26"/>
        </w:rPr>
      </w:pPr>
      <w:r>
        <w:rPr>
          <w:rFonts w:ascii="Arial" w:eastAsia="Arial" w:hAnsi="Arial" w:cs="Arial"/>
          <w:color w:val="000027"/>
          <w:sz w:val="26"/>
          <w:szCs w:val="26"/>
        </w:rPr>
        <w:t>Last Revision Date:  March 19, 2026</w:t>
      </w:r>
    </w:p>
    <w:p w14:paraId="0000002D" w14:textId="77777777" w:rsidR="00374959" w:rsidRDefault="00000000">
      <w:pPr>
        <w:pBdr>
          <w:top w:val="nil"/>
          <w:left w:val="nil"/>
          <w:bottom w:val="nil"/>
          <w:right w:val="nil"/>
          <w:between w:val="nil"/>
        </w:pBdr>
        <w:spacing w:before="11"/>
        <w:ind w:left="5"/>
        <w:rPr>
          <w:rFonts w:ascii="Arial" w:eastAsia="Arial" w:hAnsi="Arial" w:cs="Arial"/>
          <w:color w:val="000027"/>
          <w:sz w:val="26"/>
          <w:szCs w:val="26"/>
        </w:rPr>
      </w:pPr>
      <w:r>
        <w:rPr>
          <w:rFonts w:ascii="Arial" w:eastAsia="Arial" w:hAnsi="Arial" w:cs="Arial"/>
          <w:color w:val="000027"/>
          <w:sz w:val="26"/>
          <w:szCs w:val="26"/>
        </w:rPr>
        <w:t xml:space="preserve"> </w:t>
      </w:r>
    </w:p>
    <w:p w14:paraId="0000002E" w14:textId="77777777" w:rsidR="00374959" w:rsidRDefault="003749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27"/>
          <w:sz w:val="26"/>
          <w:szCs w:val="26"/>
        </w:rPr>
      </w:pPr>
    </w:p>
    <w:sectPr w:rsidR="00374959">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EB4236-FEF8-5441-85EF-54C5A33FAB5F}"/>
    <w:embedBold r:id="rId2" w:fontKey="{7E25C9FF-D0C6-2849-85DA-ABA626CCEF21}"/>
  </w:font>
  <w:font w:name="Georgia">
    <w:panose1 w:val="02040502050405020303"/>
    <w:charset w:val="00"/>
    <w:family w:val="roman"/>
    <w:pitch w:val="variable"/>
    <w:sig w:usb0="00000287" w:usb1="00000000" w:usb2="00000000" w:usb3="00000000" w:csb0="0000009F" w:csb1="00000000"/>
    <w:embedItalic r:id="rId3" w:fontKey="{CAFF6F52-451A-254C-8836-F87D1254A02B}"/>
  </w:font>
  <w:font w:name="Arial">
    <w:panose1 w:val="020B0604020202020204"/>
    <w:charset w:val="00"/>
    <w:family w:val="swiss"/>
    <w:pitch w:val="variable"/>
    <w:sig w:usb0="E0002AFF" w:usb1="C0007843" w:usb2="00000009" w:usb3="00000000" w:csb0="000001FF" w:csb1="00000000"/>
    <w:embedRegular r:id="rId4" w:fontKey="{549E0F76-5327-644A-9369-4A7F709693C9}"/>
    <w:embedBold r:id="rId5" w:fontKey="{F4053530-A1D2-144E-A86E-551175D37EF4}"/>
  </w:font>
  <w:font w:name="Calibri">
    <w:panose1 w:val="020F0502020204030204"/>
    <w:charset w:val="00"/>
    <w:family w:val="swiss"/>
    <w:pitch w:val="variable"/>
    <w:sig w:usb0="E4002EFF" w:usb1="C200247B" w:usb2="00000009" w:usb3="00000000" w:csb0="000001FF" w:csb1="00000000"/>
    <w:embedRegular r:id="rId6" w:fontKey="{750DB035-1CC7-9246-93AE-85864F6E0EC3}"/>
  </w:font>
  <w:font w:name="Cambria">
    <w:panose1 w:val="02040503050406030204"/>
    <w:charset w:val="00"/>
    <w:family w:val="roman"/>
    <w:pitch w:val="variable"/>
    <w:sig w:usb0="E00006FF" w:usb1="420024FF" w:usb2="02000000" w:usb3="00000000" w:csb0="0000019F" w:csb1="00000000"/>
    <w:embedRegular r:id="rId7" w:fontKey="{CD3CC88E-2E1A-BF4C-B508-3523F64B29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E5FF0"/>
    <w:multiLevelType w:val="multilevel"/>
    <w:tmpl w:val="A02AF072"/>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44CE58E8"/>
    <w:multiLevelType w:val="multilevel"/>
    <w:tmpl w:val="027EFF2E"/>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16cid:durableId="1163354086">
    <w:abstractNumId w:val="0"/>
  </w:num>
  <w:num w:numId="2" w16cid:durableId="523592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959"/>
    <w:rsid w:val="00186F10"/>
    <w:rsid w:val="00374959"/>
    <w:rsid w:val="00630FED"/>
    <w:rsid w:val="006C3127"/>
    <w:rsid w:val="00946004"/>
    <w:rsid w:val="00A77C27"/>
    <w:rsid w:val="00B17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1D99F"/>
  <w15:docId w15:val="{3D2A4726-6A5D-7E42-8E20-B9765C69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368</Words>
  <Characters>2224</Characters>
  <Application>Microsoft Office Word</Application>
  <DocSecurity>0</DocSecurity>
  <Lines>42</Lines>
  <Paragraphs>17</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Kossakoski</cp:lastModifiedBy>
  <cp:revision>5</cp:revision>
  <dcterms:created xsi:type="dcterms:W3CDTF">2026-03-13T01:34:00Z</dcterms:created>
  <dcterms:modified xsi:type="dcterms:W3CDTF">2026-03-24T18:28:00Z</dcterms:modified>
</cp:coreProperties>
</file>